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pPr>
    </w:p>
    <w:p>
      <w:pPr>
        <w:keepLines/>
        <w:spacing w:after="200" w:before="0" w:line="276" w:lineRule="auto"/>
        <w:jc w:val="center"/>
      </w:pPr>
      <w:r>
        <w:rPr>
          <w:rFonts w:ascii="Verdana" w:cs="Verdana" w:eastAsia="Verdana" w:hAnsi="Verdana"/>
          <w:b/>
          <w:bCs/>
          <w:caps/>
          <w:color w:val="000000"/>
          <w:spacing w:val="40"/>
          <w:sz w:val="20"/>
          <w:szCs w:val="20"/>
        </w:rPr>
        <w:t xml:space="preserve">The Chorus Chronicles · Book One</w:t>
      </w:r>
    </w:p>
    <w:p>
      <w:pPr>
        <w:keepLines/>
        <w:spacing w:after="100" w:before="0" w:line="276" w:lineRule="auto"/>
        <w:jc w:val="center"/>
      </w:pPr>
      <w:r>
        <w:rPr>
          <w:rFonts w:ascii="Georgia" w:cs="Georgia" w:eastAsia="Georgia" w:hAnsi="Georgia"/>
          <w:b/>
          <w:bCs/>
          <w:i/>
          <w:iCs/>
          <w:color w:val="000000"/>
          <w:sz w:val="64"/>
          <w:szCs w:val="64"/>
        </w:rPr>
        <w:t xml:space="preserve">Serenade of the Sasquatch</w:t>
      </w:r>
    </w:p>
    <w:p>
      <w:pPr>
        <w:keepLines/>
        <w:pBdr>
          <w:top w:val="single" w:color="000000" w:sz="18"/>
          <w:bottom w:val="single" w:color="000000" w:sz="18"/>
        </w:pBdr>
        <w:spacing w:after="160" w:before="0" w:line="276" w:lineRule="auto"/>
        <w:jc w:val="center"/>
      </w:pPr>
      <w:r>
        <w:rPr>
          <w:rFonts w:ascii="Georgia" w:cs="Georgia" w:eastAsia="Georgia" w:hAnsi="Georgia"/>
          <w:b/>
          <w:bCs/>
          <w:caps/>
          <w:color w:val="000000"/>
          <w:spacing w:val="30"/>
          <w:sz w:val="44"/>
          <w:szCs w:val="44"/>
        </w:rPr>
        <w:t xml:space="preserve">Classroom Kit</w:t>
      </w:r>
    </w:p>
    <w:p>
      <w:pPr>
        <w:keepLines/>
        <w:spacing w:after="240" w:before="0" w:line="276" w:lineRule="auto"/>
        <w:jc w:val="center"/>
      </w:pPr>
      <w:r>
        <w:rPr>
          <w:rFonts w:ascii="Verdana" w:cs="Verdana" w:eastAsia="Verdana" w:hAnsi="Verdana"/>
          <w:b/>
          <w:bCs/>
          <w:color w:val="000000"/>
          <w:sz w:val="26"/>
          <w:szCs w:val="26"/>
        </w:rPr>
        <w:t xml:space="preserve">A complete teaching kit for grades 6–8</w:t>
      </w:r>
    </w:p>
    <w:p>
      <w:pPr>
        <w:spacing w:after="0"/>
        <w:jc w:val="center"/>
      </w:pPr>
      <w:r>
        <w:drawing>
          <wp:inline distT="0" distB="0" distL="0" distR="0">
            <wp:extent cx="2857500" cy="4572000"/>
            <wp:effectExtent t="0" r="0" b="0" l="0"/>
            <wp:docPr id="1" name="Serenade of the Sasquatch cover" descr="Cover of Serenade of the Sasquatch by Rachael Lundin. Two wide-eyed kids, a boy on a brown horse and a girl on a white horse, gallop down a fern-lined forest trail." title="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4572000"/>
                    </a:xfrm>
                    <a:prstGeom prst="rect">
                      <a:avLst/>
                    </a:prstGeom>
                  </pic:spPr>
                </pic:pic>
              </a:graphicData>
            </a:graphic>
          </wp:inline>
        </w:drawing>
      </w:r>
    </w:p>
    <w:p>
      <w:pPr>
        <w:spacing w:after="200" w:before="0"/>
      </w:pPr>
    </w:p>
    <w:p>
      <w:pPr>
        <w:keepLines/>
        <w:spacing w:after="200" w:before="0" w:line="276" w:lineRule="auto"/>
        <w:jc w:val="center"/>
      </w:pPr>
      <w:r>
        <w:rPr>
          <w:rFonts w:ascii="Verdana" w:cs="Verdana" w:eastAsia="Verdana" w:hAnsi="Verdana"/>
          <w:color w:val="000000"/>
          <w:sz w:val="22"/>
          <w:szCs w:val="22"/>
        </w:rPr>
        <w:t xml:space="preserve">Everything you need to take your class into the Cascade Mountains on an expedition of mystery, evidence, and Bigfoot, paced to fit your class in three to five weeks, built for middle-school ELA, and ready to copy.</w:t>
      </w:r>
    </w:p>
    <w:p>
      <w:pPr>
        <w:keepLines/>
        <w:spacing w:after="0" w:before="0" w:line="276" w:lineRule="auto"/>
        <w:jc w:val="center"/>
      </w:pPr>
      <w:r>
        <w:rPr>
          <w:rFonts w:ascii="Verdana" w:cs="Verdana" w:eastAsia="Verdana" w:hAnsi="Verdana"/>
          <w:color w:val="000000"/>
          <w:sz w:val="24"/>
          <w:szCs w:val="24"/>
        </w:rPr>
        <w:t xml:space="preserve">by Rachael Lundin</w:t>
      </w:r>
    </w:p>
    <w:p>
      <w:r>
        <w:br w:type="page"/>
      </w:r>
    </w:p>
    <w:p>
      <w:pPr>
        <w:pStyle w:val="Heading1"/>
        <w:pBdr>
          <w:bottom w:val="single" w:color="000000" w:sz="24"/>
        </w:pBdr>
        <w:spacing w:after="80"/>
      </w:pPr>
      <w:r>
        <w:rPr>
          <w:rFonts w:ascii="Georgia" w:cs="Georgia" w:eastAsia="Georgia" w:hAnsi="Georgia"/>
          <w:b/>
          <w:bCs/>
          <w:color w:val="000000"/>
          <w:sz w:val="40"/>
          <w:szCs w:val="40"/>
        </w:rPr>
        <w:t xml:space="preserve">What’s Inside</w:t>
      </w:r>
    </w:p>
    <w:tbl>
      <w:tblPr>
        <w:tblW w:type="dxa" w:w="10080"/>
        <w:tblBorders>
          <w:top w:val="single" w:color="000000" w:sz="12"/>
          <w:left w:val="single" w:color="000000" w:sz="12"/>
          <w:bottom w:val="single" w:color="000000" w:sz="12"/>
          <w:right w:val="single" w:color="000000" w:sz="12"/>
          <w:insideH w:val="single" w:color="000000" w:sz="6"/>
          <w:insideV w:val="none" w:color="FFFFFF" w:sz="0"/>
        </w:tblBorders>
        <w:tblLayout w:type="fixed"/>
      </w:tblPr>
      <w:tblGrid>
        <w:gridCol w:w="900"/>
        <w:gridCol w:w="9180"/>
      </w:tblGrid>
      <w:tr>
        <w:trPr>
          <w:cantSplit/>
        </w:trPr>
        <w:tc>
          <w:tcPr>
            <w:tcW w:type="dxa" w:w="900"/>
            <w:tcMar>
              <w:top w:type="dxa" w:w="100"/>
              <w:left w:type="dxa" w:w="120"/>
              <w:bottom w:type="dxa" w:w="100"/>
              <w:right w:type="dxa" w:w="120"/>
            </w:tcMar>
            <w:vAlign w:val="center"/>
          </w:tcPr>
          <w:p>
            <w:pPr>
              <w:keepLines/>
              <w:spacing w:after="0" w:before="0" w:line="276" w:lineRule="auto"/>
              <w:jc w:val="center"/>
            </w:pPr>
            <w:r>
              <w:drawing>
                <wp:inline distT="0" distB="0" distL="0" distR="0">
                  <wp:extent cx="323850" cy="323850"/>
                  <wp:effectExtent t="0" r="0" b="0" l="0"/>
                  <wp:docPr id="1" name="book" descr="book icon" titl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3850" cy="323850"/>
                          </a:xfrm>
                          <a:prstGeom prst="rect">
                            <a:avLst/>
                          </a:prstGeom>
                        </pic:spPr>
                      </pic:pic>
                    </a:graphicData>
                  </a:graphic>
                </wp:inline>
              </w:drawing>
            </w:r>
          </w:p>
        </w:tc>
        <w:tc>
          <w:tcPr>
            <w:tcW w:type="dxa" w:w="9180"/>
            <w:tcMar>
              <w:top w:type="dxa" w:w="100"/>
              <w:left w:type="dxa" w:w="160"/>
              <w:bottom w:type="dxa" w:w="100"/>
              <w:right w:type="dxa" w:w="160"/>
            </w:tcMar>
            <w:vAlign w:val="top"/>
          </w:tcPr>
          <w:p>
            <w:pPr>
              <w:keepLines/>
              <w:spacing w:after="30" w:before="0" w:line="276" w:lineRule="auto"/>
            </w:pPr>
            <w:r>
              <w:rPr>
                <w:rFonts w:ascii="Georgia" w:cs="Georgia" w:eastAsia="Georgia" w:hAnsi="Georgia"/>
                <w:b/>
                <w:bCs/>
                <w:color w:val="000000"/>
                <w:sz w:val="24"/>
                <w:szCs w:val="24"/>
              </w:rPr>
              <w:t xml:space="preserve">Teacher’s Guide</w:t>
            </w:r>
            <w:r>
              <w:rPr>
                <w:rFonts w:ascii="Verdana" w:cs="Verdana" w:eastAsia="Verdana" w:hAnsi="Verdana"/>
                <w:b/>
                <w:bCs/>
                <w:color w:val="000000"/>
                <w:spacing w:val="20"/>
                <w:sz w:val="15"/>
                <w:szCs w:val="15"/>
              </w:rPr>
              <w:t xml:space="preserve">   FOR TEACHERS</w:t>
            </w:r>
          </w:p>
          <w:p>
            <w:pPr>
              <w:keepLines/>
              <w:spacing w:after="0" w:before="0" w:line="276" w:lineRule="auto"/>
            </w:pPr>
            <w:r>
              <w:rPr>
                <w:rFonts w:ascii="Verdana" w:cs="Verdana" w:eastAsia="Verdana" w:hAnsi="Verdana"/>
                <w:color w:val="000000"/>
                <w:sz w:val="19"/>
                <w:szCs w:val="19"/>
              </w:rPr>
              <w:t xml:space="preserve">Book overview, learning objectives, pacing, section-by-section teaching notes with answer keys and lesson ideas, content notes, and a standards chart</w:t>
            </w:r>
          </w:p>
        </w:tc>
      </w:tr>
      <w:tr>
        <w:trPr>
          <w:cantSplit/>
        </w:trPr>
        <w:tc>
          <w:tcPr>
            <w:tcW w:type="dxa" w:w="900"/>
            <w:tcMar>
              <w:top w:type="dxa" w:w="100"/>
              <w:left w:type="dxa" w:w="120"/>
              <w:bottom w:type="dxa" w:w="100"/>
              <w:right w:type="dxa" w:w="120"/>
            </w:tcMar>
            <w:vAlign w:val="center"/>
          </w:tcPr>
          <w:p>
            <w:pPr>
              <w:keepLines/>
              <w:spacing w:after="0" w:before="0" w:line="276" w:lineRule="auto"/>
              <w:jc w:val="center"/>
            </w:pPr>
            <w:r>
              <w:drawing>
                <wp:inline distT="0" distB="0" distL="0" distR="0">
                  <wp:extent cx="323850" cy="323850"/>
                  <wp:effectExtent t="0" r="0" b="0" l="0"/>
                  <wp:docPr id="1"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 cy="323850"/>
                          </a:xfrm>
                          <a:prstGeom prst="rect">
                            <a:avLst/>
                          </a:prstGeom>
                        </pic:spPr>
                      </pic:pic>
                    </a:graphicData>
                  </a:graphic>
                </wp:inline>
              </w:drawing>
            </w:r>
          </w:p>
        </w:tc>
        <w:tc>
          <w:tcPr>
            <w:tcW w:type="dxa" w:w="9180"/>
            <w:tcMar>
              <w:top w:type="dxa" w:w="100"/>
              <w:left w:type="dxa" w:w="160"/>
              <w:bottom w:type="dxa" w:w="100"/>
              <w:right w:type="dxa" w:w="160"/>
            </w:tcMar>
            <w:vAlign w:val="top"/>
          </w:tcPr>
          <w:p>
            <w:pPr>
              <w:keepLines/>
              <w:spacing w:after="30" w:before="0" w:line="276" w:lineRule="auto"/>
            </w:pPr>
            <w:r>
              <w:rPr>
                <w:rFonts w:ascii="Georgia" w:cs="Georgia" w:eastAsia="Georgia" w:hAnsi="Georgia"/>
                <w:b/>
                <w:bCs/>
                <w:color w:val="000000"/>
                <w:sz w:val="24"/>
                <w:szCs w:val="24"/>
              </w:rPr>
              <w:t xml:space="preserve">Student Field Journal</w:t>
            </w:r>
            <w:r>
              <w:rPr>
                <w:rFonts w:ascii="Verdana" w:cs="Verdana" w:eastAsia="Verdana" w:hAnsi="Verdana"/>
                <w:b/>
                <w:bCs/>
                <w:color w:val="000000"/>
                <w:spacing w:val="20"/>
                <w:sz w:val="15"/>
                <w:szCs w:val="15"/>
              </w:rPr>
              <w:t xml:space="preserve">   FOR STUDENTS</w:t>
            </w:r>
          </w:p>
          <w:p>
            <w:pPr>
              <w:keepLines/>
              <w:spacing w:after="0" w:before="0" w:line="276" w:lineRule="auto"/>
            </w:pPr>
            <w:r>
              <w:rPr>
                <w:rFonts w:ascii="Verdana" w:cs="Verdana" w:eastAsia="Verdana" w:hAnsi="Verdana"/>
                <w:color w:val="000000"/>
                <w:sz w:val="19"/>
                <w:szCs w:val="19"/>
              </w:rPr>
              <w:t xml:space="preserve">Vocabulary, reading questions, writing prompts, and research tools for each of the six reading sections</w:t>
            </w:r>
          </w:p>
        </w:tc>
      </w:tr>
      <w:tr>
        <w:trPr>
          <w:cantSplit/>
        </w:trPr>
        <w:tc>
          <w:tcPr>
            <w:tcW w:type="dxa" w:w="900"/>
            <w:tcMar>
              <w:top w:type="dxa" w:w="100"/>
              <w:left w:type="dxa" w:w="120"/>
              <w:bottom w:type="dxa" w:w="100"/>
              <w:right w:type="dxa" w:w="120"/>
            </w:tcMar>
            <w:vAlign w:val="center"/>
          </w:tcPr>
          <w:p>
            <w:pPr>
              <w:keepLines/>
              <w:spacing w:after="0" w:before="0" w:line="276" w:lineRule="auto"/>
              <w:jc w:val="center"/>
            </w:pPr>
            <w:r>
              <w:drawing>
                <wp:inline distT="0" distB="0" distL="0" distR="0">
                  <wp:extent cx="323850" cy="323850"/>
                  <wp:effectExtent t="0" r="0" b="0" l="0"/>
                  <wp:docPr id="1"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tc>
        <w:tc>
          <w:tcPr>
            <w:tcW w:type="dxa" w:w="9180"/>
            <w:tcMar>
              <w:top w:type="dxa" w:w="100"/>
              <w:left w:type="dxa" w:w="160"/>
              <w:bottom w:type="dxa" w:w="100"/>
              <w:right w:type="dxa" w:w="160"/>
            </w:tcMar>
            <w:vAlign w:val="top"/>
          </w:tcPr>
          <w:p>
            <w:pPr>
              <w:keepLines/>
              <w:spacing w:after="30" w:before="0" w:line="276" w:lineRule="auto"/>
            </w:pPr>
            <w:r>
              <w:rPr>
                <w:rFonts w:ascii="Georgia" w:cs="Georgia" w:eastAsia="Georgia" w:hAnsi="Georgia"/>
                <w:b/>
                <w:bCs/>
                <w:color w:val="000000"/>
                <w:sz w:val="24"/>
                <w:szCs w:val="24"/>
              </w:rPr>
              <w:t xml:space="preserve">Assessment Packet</w:t>
            </w:r>
            <w:r>
              <w:rPr>
                <w:rFonts w:ascii="Verdana" w:cs="Verdana" w:eastAsia="Verdana" w:hAnsi="Verdana"/>
                <w:b/>
                <w:bCs/>
                <w:color w:val="000000"/>
                <w:spacing w:val="20"/>
                <w:sz w:val="15"/>
                <w:szCs w:val="15"/>
              </w:rPr>
              <w:t xml:space="preserve">   FOR STUDENTS</w:t>
            </w:r>
          </w:p>
          <w:p>
            <w:pPr>
              <w:keepLines/>
              <w:spacing w:after="0" w:before="0" w:line="276" w:lineRule="auto"/>
            </w:pPr>
            <w:r>
              <w:rPr>
                <w:rFonts w:ascii="Verdana" w:cs="Verdana" w:eastAsia="Verdana" w:hAnsi="Verdana"/>
                <w:color w:val="000000"/>
                <w:sz w:val="19"/>
                <w:szCs w:val="19"/>
              </w:rPr>
              <w:t xml:space="preserve">Six one-page section quizzes and a final project with five choices, scored on one rubric</w:t>
            </w:r>
          </w:p>
        </w:tc>
      </w:tr>
      <w:tr>
        <w:trPr>
          <w:cantSplit/>
        </w:trPr>
        <w:tc>
          <w:tcPr>
            <w:tcW w:type="dxa" w:w="900"/>
            <w:tcMar>
              <w:top w:type="dxa" w:w="100"/>
              <w:left w:type="dxa" w:w="120"/>
              <w:bottom w:type="dxa" w:w="100"/>
              <w:right w:type="dxa" w:w="120"/>
            </w:tcMar>
            <w:vAlign w:val="center"/>
          </w:tcPr>
          <w:p>
            <w:pPr>
              <w:keepLines/>
              <w:spacing w:after="0" w:before="0" w:line="276" w:lineRule="auto"/>
              <w:jc w:val="center"/>
            </w:pPr>
            <w:r>
              <w:drawing>
                <wp:inline distT="0" distB="0" distL="0" distR="0">
                  <wp:extent cx="323850" cy="323850"/>
                  <wp:effectExtent t="0" r="0" b="0" l="0"/>
                  <wp:docPr id="1" name="bubbles" descr="bubbles icon" title="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tc>
        <w:tc>
          <w:tcPr>
            <w:tcW w:type="dxa" w:w="9180"/>
            <w:tcMar>
              <w:top w:type="dxa" w:w="100"/>
              <w:left w:type="dxa" w:w="160"/>
              <w:bottom w:type="dxa" w:w="100"/>
              <w:right w:type="dxa" w:w="160"/>
            </w:tcMar>
            <w:vAlign w:val="top"/>
          </w:tcPr>
          <w:p>
            <w:pPr>
              <w:keepLines/>
              <w:spacing w:after="30" w:before="0" w:line="276" w:lineRule="auto"/>
            </w:pPr>
            <w:r>
              <w:rPr>
                <w:rFonts w:ascii="Georgia" w:cs="Georgia" w:eastAsia="Georgia" w:hAnsi="Georgia"/>
                <w:b/>
                <w:bCs/>
                <w:color w:val="000000"/>
                <w:sz w:val="24"/>
                <w:szCs w:val="24"/>
              </w:rPr>
              <w:t xml:space="preserve">Family Letter</w:t>
            </w:r>
            <w:r>
              <w:rPr>
                <w:rFonts w:ascii="Verdana" w:cs="Verdana" w:eastAsia="Verdana" w:hAnsi="Verdana"/>
                <w:b/>
                <w:bCs/>
                <w:color w:val="000000"/>
                <w:spacing w:val="20"/>
                <w:sz w:val="15"/>
                <w:szCs w:val="15"/>
              </w:rPr>
              <w:t xml:space="preserve">   FOR FAMILIES</w:t>
            </w:r>
          </w:p>
          <w:p>
            <w:pPr>
              <w:keepLines/>
              <w:spacing w:after="0" w:before="0" w:line="276" w:lineRule="auto"/>
            </w:pPr>
            <w:r>
              <w:rPr>
                <w:rFonts w:ascii="Verdana" w:cs="Verdana" w:eastAsia="Verdana" w:hAnsi="Verdana"/>
                <w:color w:val="000000"/>
                <w:sz w:val="19"/>
                <w:szCs w:val="19"/>
              </w:rPr>
              <w:t xml:space="preserve">A one-page introduction to the book, a gentle content heads-up, and dinner-table questions</w:t>
            </w:r>
          </w:p>
        </w:tc>
      </w:tr>
      <w:tr>
        <w:trPr>
          <w:cantSplit/>
        </w:trPr>
        <w:tc>
          <w:tcPr>
            <w:tcW w:type="dxa" w:w="900"/>
            <w:tcMar>
              <w:top w:type="dxa" w:w="100"/>
              <w:left w:type="dxa" w:w="120"/>
              <w:bottom w:type="dxa" w:w="100"/>
              <w:right w:type="dxa" w:w="120"/>
            </w:tcMar>
            <w:vAlign w:val="center"/>
          </w:tcPr>
          <w:p>
            <w:pPr>
              <w:keepLines/>
              <w:spacing w:after="0" w:before="0" w:line="276" w:lineRule="auto"/>
              <w:jc w:val="center"/>
            </w:pPr>
            <w:r>
              <w:drawing>
                <wp:inline distT="0" distB="0" distL="0" distR="0">
                  <wp:extent cx="323850" cy="323850"/>
                  <wp:effectExtent t="0" r="0" b="0" l="0"/>
                  <wp:docPr id="1" name="person" descr="person icon" title="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tc>
        <w:tc>
          <w:tcPr>
            <w:tcW w:type="dxa" w:w="9180"/>
            <w:tcMar>
              <w:top w:type="dxa" w:w="100"/>
              <w:left w:type="dxa" w:w="160"/>
              <w:bottom w:type="dxa" w:w="100"/>
              <w:right w:type="dxa" w:w="160"/>
            </w:tcMar>
            <w:vAlign w:val="top"/>
          </w:tcPr>
          <w:p>
            <w:pPr>
              <w:keepLines/>
              <w:spacing w:after="30" w:before="0" w:line="276" w:lineRule="auto"/>
            </w:pPr>
            <w:r>
              <w:rPr>
                <w:rFonts w:ascii="Georgia" w:cs="Georgia" w:eastAsia="Georgia" w:hAnsi="Georgia"/>
                <w:b/>
                <w:bCs/>
                <w:color w:val="000000"/>
                <w:sz w:val="24"/>
                <w:szCs w:val="24"/>
              </w:rPr>
              <w:t xml:space="preserve">Author and Series One-Sheet</w:t>
            </w:r>
            <w:r>
              <w:rPr>
                <w:rFonts w:ascii="Verdana" w:cs="Verdana" w:eastAsia="Verdana" w:hAnsi="Verdana"/>
                <w:b/>
                <w:bCs/>
                <w:color w:val="000000"/>
                <w:spacing w:val="20"/>
                <w:sz w:val="15"/>
                <w:szCs w:val="15"/>
              </w:rPr>
              <w:t xml:space="preserve">   FOR TEACHERS AND FAMILIES</w:t>
            </w:r>
          </w:p>
          <w:p>
            <w:pPr>
              <w:keepLines/>
              <w:spacing w:after="0" w:before="0" w:line="276" w:lineRule="auto"/>
            </w:pPr>
            <w:r>
              <w:rPr>
                <w:rFonts w:ascii="Verdana" w:cs="Verdana" w:eastAsia="Verdana" w:hAnsi="Verdana"/>
                <w:color w:val="000000"/>
                <w:sz w:val="19"/>
                <w:szCs w:val="19"/>
              </w:rPr>
              <w:t xml:space="preserve">About the author, the Chorus Chronicles series, school visits, and ordering</w:t>
            </w:r>
          </w:p>
        </w:tc>
      </w:tr>
    </w:tbl>
    <w:p>
      <w:pPr>
        <w:pStyle w:val="Heading2"/>
        <w:spacing w:after="100" w:before="300"/>
      </w:pPr>
      <w:r>
        <w:rPr>
          <w:rFonts w:ascii="Georgia" w:cs="Georgia" w:eastAsia="Georgia" w:hAnsi="Georgia"/>
          <w:b/>
          <w:bCs/>
          <w:color w:val="000000"/>
          <w:sz w:val="30"/>
          <w:szCs w:val="30"/>
        </w:rPr>
        <w:t xml:space="preserve">Getting Started</w:t>
      </w:r>
    </w:p>
    <w:p>
      <w:pPr>
        <w:pStyle w:val="ListParagraph"/>
        <w:numPr>
          <w:ilvl w:val="0"/>
          <w:numId w:val="2"/>
        </w:numPr>
        <w:spacing w:after="70" w:line="276" w:lineRule="auto"/>
      </w:pPr>
      <w:r>
        <w:rPr>
          <w:rFonts w:ascii="Verdana" w:cs="Verdana" w:eastAsia="Verdana" w:hAnsi="Verdana"/>
          <w:color w:val="000000"/>
          <w:sz w:val="20"/>
          <w:szCs w:val="20"/>
        </w:rPr>
        <w:t xml:space="preserve">Read the Teacher’s Guide overview and content notes, and preview Chapter 27 before assigning it.</w:t>
      </w:r>
    </w:p>
    <w:p>
      <w:pPr>
        <w:pStyle w:val="ListParagraph"/>
        <w:numPr>
          <w:ilvl w:val="0"/>
          <w:numId w:val="2"/>
        </w:numPr>
        <w:spacing w:after="70" w:line="276" w:lineRule="auto"/>
      </w:pPr>
      <w:r>
        <w:rPr>
          <w:rFonts w:ascii="Verdana" w:cs="Verdana" w:eastAsia="Verdana" w:hAnsi="Verdana"/>
          <w:color w:val="000000"/>
          <w:sz w:val="20"/>
          <w:szCs w:val="20"/>
        </w:rPr>
        <w:t xml:space="preserve">Send the Family Letter home about a week before you begin.</w:t>
      </w:r>
    </w:p>
    <w:p>
      <w:pPr>
        <w:pStyle w:val="ListParagraph"/>
        <w:numPr>
          <w:ilvl w:val="0"/>
          <w:numId w:val="2"/>
        </w:numPr>
        <w:spacing w:after="70" w:line="276" w:lineRule="auto"/>
      </w:pPr>
      <w:r>
        <w:rPr>
          <w:rFonts w:ascii="Verdana" w:cs="Verdana" w:eastAsia="Verdana" w:hAnsi="Verdana"/>
          <w:color w:val="000000"/>
          <w:sz w:val="20"/>
          <w:szCs w:val="20"/>
        </w:rPr>
        <w:t xml:space="preserve">Hand out the Student Field Journal on day one, and set up the three research tools together.</w:t>
      </w:r>
    </w:p>
    <w:p>
      <w:pPr>
        <w:pStyle w:val="ListParagraph"/>
        <w:numPr>
          <w:ilvl w:val="0"/>
          <w:numId w:val="2"/>
        </w:numPr>
        <w:spacing w:after="70" w:line="276" w:lineRule="auto"/>
      </w:pPr>
      <w:r>
        <w:rPr>
          <w:rFonts w:ascii="Verdana" w:cs="Verdana" w:eastAsia="Verdana" w:hAnsi="Verdana"/>
          <w:color w:val="000000"/>
          <w:sz w:val="20"/>
          <w:szCs w:val="20"/>
        </w:rPr>
        <w:t xml:space="preserve">Give each section quiz after students finish that reading section.</w:t>
      </w:r>
    </w:p>
    <w:p>
      <w:pPr>
        <w:pStyle w:val="ListParagraph"/>
        <w:numPr>
          <w:ilvl w:val="0"/>
          <w:numId w:val="2"/>
        </w:numPr>
        <w:spacing w:after="70" w:line="276" w:lineRule="auto"/>
      </w:pPr>
      <w:r>
        <w:rPr>
          <w:rFonts w:ascii="Verdana" w:cs="Verdana" w:eastAsia="Verdana" w:hAnsi="Verdana"/>
          <w:color w:val="000000"/>
          <w:sz w:val="20"/>
          <w:szCs w:val="20"/>
        </w:rPr>
        <w:t xml:space="preserve">Introduce the final project in Lesson 8, about halfway through the book, so students have time to plan.</w:t>
      </w:r>
    </w:p>
    <w:p>
      <w:pPr>
        <w:pStyle w:val="ListParagraph"/>
        <w:numPr>
          <w:ilvl w:val="0"/>
          <w:numId w:val="2"/>
        </w:numPr>
        <w:spacing w:after="70" w:line="276" w:lineRule="auto"/>
      </w:pPr>
      <w:r>
        <w:rPr>
          <w:rFonts w:ascii="Verdana" w:cs="Verdana" w:eastAsia="Verdana" w:hAnsi="Verdana"/>
          <w:color w:val="000000"/>
          <w:sz w:val="20"/>
          <w:szCs w:val="20"/>
        </w:rPr>
        <w:t xml:space="preserve">Share the Author and Series One-Sheet if you’d like to book a visit or point readers to Book 2.</w:t>
      </w:r>
    </w:p>
    <w:p>
      <w:pPr>
        <w:pStyle w:val="Heading2"/>
        <w:spacing w:after="100" w:before="300"/>
      </w:pPr>
      <w:r>
        <w:rPr>
          <w:rFonts w:ascii="Georgia" w:cs="Georgia" w:eastAsia="Georgia" w:hAnsi="Georgia"/>
          <w:b/>
          <w:bCs/>
          <w:color w:val="000000"/>
          <w:sz w:val="30"/>
          <w:szCs w:val="30"/>
        </w:rPr>
        <w:t xml:space="preserve">Ready to Adapt for Every Student</w:t>
      </w:r>
    </w:p>
    <w:p>
      <w:pPr>
        <w:keepLines/>
        <w:spacing w:after="100" w:before="0" w:line="276" w:lineRule="auto"/>
      </w:pPr>
      <w:r>
        <w:rPr>
          <w:rFonts w:ascii="Verdana" w:cs="Verdana" w:eastAsia="Verdana" w:hAnsi="Verdana"/>
          <w:color w:val="000000"/>
          <w:sz w:val="20"/>
          <w:szCs w:val="20"/>
        </w:rPr>
        <w:t xml:space="preserve">Every document in this kit comes as an editable Word file, so you can adapt it for your students. Enlarge the text, add writing space, trim or simplify questions, or use your school’s read-aloud tools. Pages are designed in black and white to copy cleanly.</w:t>
      </w:r>
    </w:p>
    <w:p>
      <w:pPr>
        <w:pStyle w:val="Heading2"/>
        <w:spacing w:after="100" w:before="300"/>
      </w:pPr>
      <w:r>
        <w:rPr>
          <w:rFonts w:ascii="Georgia" w:cs="Georgia" w:eastAsia="Georgia" w:hAnsi="Georgia"/>
          <w:b/>
          <w:bCs/>
          <w:color w:val="000000"/>
          <w:sz w:val="30"/>
          <w:szCs w:val="30"/>
        </w:rPr>
        <w:t xml:space="preserve">Questions?</w:t>
      </w:r>
    </w:p>
    <w:p>
      <w:pPr>
        <w:keepLines/>
        <w:spacing w:after="300" w:before="0" w:line="276" w:lineRule="auto"/>
      </w:pPr>
      <w:r>
        <w:rPr>
          <w:rFonts w:ascii="Verdana" w:cs="Verdana" w:eastAsia="Verdana" w:hAnsi="Verdana"/>
          <w:color w:val="000000"/>
          <w:sz w:val="20"/>
          <w:szCs w:val="20"/>
        </w:rPr>
        <w:t xml:space="preserve">Contact Rachael Lundin at rachael@rachaellundin.com or visit rachaellundin.com.</w:t>
      </w:r>
    </w:p>
    <w:p>
      <w:pPr>
        <w:pBdr>
          <w:top w:val="single" w:color="000000" w:sz="8"/>
        </w:pBdr>
        <w:spacing w:before="200"/>
      </w:pPr>
      <w:r>
        <w:rPr>
          <w:rFonts w:ascii="Verdana" w:cs="Verdana" w:eastAsia="Verdana" w:hAnsi="Verdana"/>
          <w:color w:val="000000"/>
          <w:sz w:val="17"/>
          <w:szCs w:val="17"/>
        </w:rPr>
        <w:t xml:space="preserve">© 2026 Rachael Lundin. This kit is free, and pages may be copied for classroom use.</w:t>
      </w:r>
    </w:p>
    <w:sectPr>
      <w:pgSz w:w="12240" w:h="15840"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40" w:hanging="360"/>
      </w:pPr>
      <w:rPr>
        <w:rFonts w:ascii="Verdana" w:cs="Verdana" w:eastAsia="Verdana" w:hAnsi="Verdana"/>
        <w:b/>
        <w:bCs/>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outlineLvl w:val="0"/>
    </w:pPr>
    <w:rPr>
      <w:rFonts w:ascii="Georgia" w:cs="Georgia" w:eastAsia="Georgia" w:hAnsi="Georgia"/>
      <w:b/>
      <w:bCs/>
      <w:color w:val="000000"/>
      <w:sz w:val="40"/>
      <w:szCs w:val="40"/>
    </w:rPr>
  </w:style>
  <w:style w:type="paragraph" w:styleId="Heading2">
    <w:name w:val="Heading 2"/>
    <w:basedOn w:val="Normal"/>
    <w:next w:val="Normal"/>
    <w:pPr>
      <w:outlineLvl w:val="1"/>
    </w:pPr>
    <w:rPr>
      <w:rFonts w:ascii="Georgia" w:cs="Georgia" w:eastAsia="Georgia" w:hAnsi="Georgia"/>
      <w:b/>
      <w:bCs/>
      <w:color w:val="000000"/>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dfc2eb8d2a7a90ed15d45e4bdcc8e686ebc5273.jpg"/><Relationship Id="rId8" Type="http://schemas.openxmlformats.org/officeDocument/2006/relationships/image" Target="media/7f3ca6331a49252e94c393464537c9364b9e136a.png"/><Relationship Id="rId9" Type="http://schemas.openxmlformats.org/officeDocument/2006/relationships/image" Target="media/fef7532f48082de2b12079d8580521067285fb94.png"/><Relationship Id="rId10" Type="http://schemas.openxmlformats.org/officeDocument/2006/relationships/image" Target="media/5d3724eecc97e9fd38621bf252f16ffd7f1b7f33.png"/><Relationship Id="rId11" Type="http://schemas.openxmlformats.org/officeDocument/2006/relationships/image" Target="media/e92900242d7184fce24ee49178e1bb128d8d580a.png"/><Relationship Id="rId12" Type="http://schemas.openxmlformats.org/officeDocument/2006/relationships/image" Target="media/3a214344ac364a0577d98697214d94a8ca78c3e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Serenade of the Sasquatch — Classroom Kit</dc:title>
  <dc:creator>Rachael Lundin</dc:creator>
  <dc:description>Cover and contents for the Serenade of the Sasquatch classroom kit</dc:description>
  <cp:lastModifiedBy>Un-named</cp:lastModifiedBy>
  <cp:revision>1</cp:revision>
  <dcterms:created xsi:type="dcterms:W3CDTF">2026-10-05T01:01:11.610Z</dcterms:created>
  <dcterms:modified xsi:type="dcterms:W3CDTF">2026-10-05T01:01:11.613Z</dcterms:modified>
</cp:coreProperties>
</file>

<file path=docProps/custom.xml><?xml version="1.0" encoding="utf-8"?>
<Properties xmlns="http://schemas.openxmlformats.org/officeDocument/2006/custom-properties" xmlns:vt="http://schemas.openxmlformats.org/officeDocument/2006/docPropsVTypes"/>
</file>